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right="0"/>
        <w:jc w:val="center"/>
        <w:rPr>
          <w:sz w:val="24"/>
          <w:szCs w:val="24"/>
          <w:u w:val="none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关于发布《射线装置分类》的公告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根据国务院第449号令《放射性同位素与射线装置安全和防护条例》规定，制定本放射源分类办法。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一、放射源分类原则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参照国际原子能机构的有关规定，按照放射源对人体健康和环境的潜在危害程度，从高到低将放射源分为Ⅰ、Ⅱ、Ⅲ、Ⅳ、Ⅴ类，V类源的下限活度值为该种核素的豁免活度。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（一）Ⅰ类放射源为极高危险源。没有防护情况下，接触这类源几分钟到1小时就可致人死亡;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（二）Ⅱ类放射源为高危险源。没有防护情况下，接触这类源几小时至几天可致人死亡;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（三）Ⅲ类放射源为危险源。没有防护情况下，接触这类源几小时就可对人造成永久性损伤，接触几天至几周也可致人死亡;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（四）Ⅳ类放射源为低危险源。基本不会对人造成永久性损伤，但对长时间、近距离接触这些放射源的人可能造成可恢复的临时性损伤;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（五）Ⅴ类放射源为极低危险源。不会对人造成永久性损伤。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二、放射源分类表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　　常用不同核素的64种放射源按下列表进行分类。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center"/>
        <w:rPr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sz w:val="24"/>
          <w:szCs w:val="24"/>
          <w:u w:val="none"/>
          <w:shd w:val="clear" w:fill="FFFFFF"/>
        </w:rPr>
        <w:t>放 射 源 分 类 表</w:t>
      </w: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 </w:t>
      </w:r>
    </w:p>
    <w:tbl>
      <w:tblPr>
        <w:tblStyle w:val="7"/>
        <w:tblW w:w="8280" w:type="dxa"/>
        <w:tblInd w:w="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420"/>
        <w:gridCol w:w="1420"/>
        <w:gridCol w:w="1420"/>
        <w:gridCol w:w="1420"/>
        <w:gridCol w:w="14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sz w:val="24"/>
                <w:szCs w:val="24"/>
                <w:u w:val="none"/>
              </w:rPr>
              <w:t>核素名称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lang w:val="en-US"/>
              </w:rPr>
              <w:t>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lang w:val="en-US"/>
              </w:rPr>
              <w:t>II类源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lang w:val="en-US"/>
              </w:rPr>
              <w:t>III类源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lang w:val="en-US"/>
              </w:rPr>
              <w:t>IV类源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lang w:val="en-US"/>
              </w:rPr>
              <w:t>V类源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</w:rPr>
              <w:t>（贝可）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Am-241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Am-241/Be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Au-198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Ba-133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C-14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Cd-109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Ce-141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Ce-144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Cf-252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Cl-36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Cm-242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Cm-244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Co-57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Co-60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Cr-51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Cs-134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Cs-137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Eu-152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Eu-154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Fe-55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Gd-153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Ge-68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H-3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Hg-203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I-125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I-131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Ir-192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Kr-85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Mo-99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Nb-95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Ni-63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Np-237 (Pa-233)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P-32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Pd-103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≥9×10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Pm-147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Po-210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Pu-238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Pu-239/Be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Pu-239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Pu-240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Pu-242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Ra-226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Re-188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Ru-103 (Rh-103m)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Ru-106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(Rh-106)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S-35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≥6×10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Se-75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Sr-89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Sr-90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(Y-90)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Tc-99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  <w:lang w:val="en-US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Te-132 (I-132)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Th-230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≥7×10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Tl-204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Tm-170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≥2×10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Y-90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≥5×10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Y-91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≥8×10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Yb-169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≥3×10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>Zn-65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/>
              </w:rPr>
              <w:t xml:space="preserve">Zr-95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≥4×10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≥1×10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superscript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right="0"/>
        <w:jc w:val="left"/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>注：1．Am-241用于固定式烟雾报警器时的豁免值为1×10</w:t>
      </w: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  <w:vertAlign w:val="superscript"/>
        </w:rPr>
        <w:t>5</w:t>
      </w: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>贝可。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 2．核素份额不明的混合源，按其危险度最大的核素分类，其总活度视为该核素的活度。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三、非密封源分类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上述放射源分类原则对非密封源适用。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非密封源工作场所按放射性核素日等效最大操作量分为甲、乙、丙三级，具体分级标准见《电离辐射防护与辐射源安全标准》（GB 18871-2002）。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 xml:space="preserve">甲级非密封源工作场所的安全管理参照Ⅰ类放射源。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76" w:right="0"/>
        <w:jc w:val="left"/>
        <w:rPr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shd w:val="clear" w:fill="FFFFFF"/>
        </w:rPr>
        <w:t>乙级和丙级非密封源工作场所的安全管理参照Ⅱ、Ⅲ类放射源。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C371F"/>
    <w:rsid w:val="39C138CB"/>
    <w:rsid w:val="508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2019-01-18T03:35:21Z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